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A99E2" w14:textId="527C65AB" w:rsidR="00310A04" w:rsidRDefault="001D4C5A">
      <w:pPr>
        <w:pStyle w:val="Sprechblasentext"/>
        <w:tabs>
          <w:tab w:val="left" w:pos="3514"/>
          <w:tab w:val="left" w:pos="6033"/>
        </w:tabs>
        <w:spacing w:line="360" w:lineRule="exact"/>
        <w:ind w:left="2150"/>
        <w:rPr>
          <w:rFonts w:ascii="Arial" w:hAnsi="Arial" w:cs="Arial"/>
          <w:sz w:val="18"/>
          <w:szCs w:val="18"/>
        </w:rPr>
      </w:pPr>
      <w:r>
        <w:rPr>
          <w:noProof/>
        </w:rPr>
        <w:drawing>
          <wp:anchor distT="0" distB="0" distL="114300" distR="114300" simplePos="0" relativeHeight="251659264" behindDoc="0" locked="0" layoutInCell="1" allowOverlap="1" wp14:anchorId="1A52268A" wp14:editId="5C9D390C">
            <wp:simplePos x="0" y="0"/>
            <wp:positionH relativeFrom="page">
              <wp:posOffset>965200</wp:posOffset>
            </wp:positionH>
            <wp:positionV relativeFrom="page">
              <wp:posOffset>532765</wp:posOffset>
            </wp:positionV>
            <wp:extent cx="1641600" cy="705600"/>
            <wp:effectExtent l="0" t="0" r="0" b="0"/>
            <wp:wrapNone/>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1600" cy="705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 xml:space="preserve">                                                       </w:t>
      </w:r>
      <w:r w:rsidR="00717B9C">
        <w:rPr>
          <w:rFonts w:ascii="Arial" w:hAnsi="Arial" w:cs="Arial"/>
          <w:sz w:val="18"/>
          <w:szCs w:val="18"/>
        </w:rPr>
        <w:t xml:space="preserve">      </w:t>
      </w:r>
      <w:r w:rsidR="00B13BCB">
        <w:rPr>
          <w:rFonts w:ascii="Arial" w:hAnsi="Arial" w:cs="Arial"/>
          <w:sz w:val="18"/>
          <w:szCs w:val="18"/>
        </w:rPr>
        <w:t xml:space="preserve">  </w:t>
      </w:r>
      <w:r>
        <w:rPr>
          <w:rFonts w:ascii="Arial" w:hAnsi="Arial" w:cs="Arial"/>
          <w:sz w:val="18"/>
          <w:szCs w:val="18"/>
        </w:rPr>
        <w:t xml:space="preserve"> </w:t>
      </w:r>
      <w:r w:rsidR="0094725E">
        <w:rPr>
          <w:rFonts w:ascii="Arial" w:hAnsi="Arial" w:cs="Arial"/>
          <w:sz w:val="18"/>
          <w:szCs w:val="18"/>
        </w:rPr>
        <w:t xml:space="preserve">Status </w:t>
      </w:r>
      <w:r w:rsidR="009C256C">
        <w:rPr>
          <w:rFonts w:ascii="Arial" w:hAnsi="Arial" w:cs="Arial"/>
          <w:sz w:val="18"/>
          <w:szCs w:val="18"/>
        </w:rPr>
        <w:t>01.04</w:t>
      </w:r>
      <w:r w:rsidR="0094725E">
        <w:rPr>
          <w:rFonts w:ascii="Arial" w:hAnsi="Arial" w:cs="Arial"/>
          <w:sz w:val="18"/>
          <w:szCs w:val="18"/>
        </w:rPr>
        <w:t>.2</w:t>
      </w:r>
      <w:r w:rsidR="00202AD2">
        <w:rPr>
          <w:rFonts w:ascii="Arial" w:hAnsi="Arial" w:cs="Arial"/>
          <w:sz w:val="18"/>
          <w:szCs w:val="18"/>
        </w:rPr>
        <w:t>3</w:t>
      </w:r>
    </w:p>
    <w:p w14:paraId="14CE4513" w14:textId="77777777" w:rsidR="00310A04" w:rsidRDefault="00310A04">
      <w:pPr>
        <w:spacing w:line="320" w:lineRule="exact"/>
        <w:rPr>
          <w:rFonts w:ascii="Arial" w:hAnsi="Arial" w:cs="Arial"/>
        </w:rPr>
      </w:pPr>
    </w:p>
    <w:p w14:paraId="3FBA0104" w14:textId="22CC50C8" w:rsidR="007932E7" w:rsidRDefault="00256D26" w:rsidP="00256D26">
      <w:pPr>
        <w:spacing w:line="360" w:lineRule="exact"/>
        <w:rPr>
          <w:rFonts w:ascii="Arial" w:eastAsiaTheme="majorEastAsia" w:hAnsi="Arial" w:cs="Arial"/>
          <w:b/>
          <w:color w:val="000000" w:themeColor="text1"/>
          <w:sz w:val="28"/>
          <w:szCs w:val="28"/>
          <w:lang w:eastAsia="en-US"/>
        </w:rPr>
      </w:pPr>
      <w:r w:rsidRPr="00256D26">
        <w:rPr>
          <w:rFonts w:ascii="Arial" w:eastAsiaTheme="majorEastAsia" w:hAnsi="Arial" w:cs="Arial"/>
          <w:b/>
          <w:color w:val="000000" w:themeColor="text1"/>
          <w:sz w:val="28"/>
          <w:szCs w:val="28"/>
          <w:lang w:eastAsia="en-US"/>
        </w:rPr>
        <w:t>Hydraulischer Abgleich plus Wärmepumpen-Check!</w:t>
      </w:r>
    </w:p>
    <w:p w14:paraId="17DC8C90" w14:textId="77777777" w:rsidR="00256D26" w:rsidRDefault="00256D26" w:rsidP="00256D26">
      <w:pPr>
        <w:spacing w:line="360" w:lineRule="exact"/>
        <w:rPr>
          <w:rFonts w:ascii="Arial" w:hAnsi="Arial" w:cs="Arial"/>
          <w:b/>
          <w:bCs/>
        </w:rPr>
      </w:pPr>
    </w:p>
    <w:p w14:paraId="4B27F8E9" w14:textId="22F132DF" w:rsidR="00256D26" w:rsidRDefault="002D56DC" w:rsidP="00256D26">
      <w:pPr>
        <w:spacing w:line="360" w:lineRule="exact"/>
        <w:rPr>
          <w:rFonts w:ascii="Arial" w:hAnsi="Arial" w:cs="Arial"/>
          <w:b/>
          <w:bCs/>
        </w:rPr>
      </w:pPr>
      <w:r>
        <w:rPr>
          <w:rFonts w:ascii="Arial" w:hAnsi="Arial" w:cs="Arial"/>
          <w:b/>
          <w:bCs/>
        </w:rPr>
        <w:t>Das passende Berechnungstool auf Basis der Optimus-Studie</w:t>
      </w:r>
    </w:p>
    <w:p w14:paraId="217B16A8" w14:textId="77777777" w:rsidR="00256D26" w:rsidRDefault="00256D26" w:rsidP="00256D26">
      <w:pPr>
        <w:spacing w:line="360" w:lineRule="exact"/>
        <w:rPr>
          <w:rFonts w:ascii="Arial" w:hAnsi="Arial" w:cs="Arial"/>
          <w:b/>
          <w:bCs/>
        </w:rPr>
      </w:pPr>
    </w:p>
    <w:p w14:paraId="6BC23135" w14:textId="7020244C" w:rsidR="00256D26" w:rsidRDefault="001A1CFA" w:rsidP="00256D26">
      <w:pPr>
        <w:spacing w:line="360" w:lineRule="exact"/>
        <w:rPr>
          <w:rFonts w:ascii="Arial" w:hAnsi="Arial" w:cs="Arial"/>
          <w:b/>
          <w:bCs/>
        </w:rPr>
      </w:pPr>
      <w:r w:rsidRPr="001A1CFA">
        <w:rPr>
          <w:rFonts w:ascii="Arial" w:hAnsi="Arial" w:cs="Arial"/>
          <w:b/>
          <w:bCs/>
        </w:rPr>
        <w:t xml:space="preserve">Zur Steigerung der Energieeffizienz müssen alle Heizanlagen in größeren </w:t>
      </w:r>
      <w:r>
        <w:rPr>
          <w:rFonts w:ascii="Arial" w:hAnsi="Arial" w:cs="Arial"/>
          <w:b/>
          <w:bCs/>
        </w:rPr>
        <w:t>Bestandsg</w:t>
      </w:r>
      <w:r w:rsidRPr="001A1CFA">
        <w:rPr>
          <w:rFonts w:ascii="Arial" w:hAnsi="Arial" w:cs="Arial"/>
          <w:b/>
          <w:bCs/>
        </w:rPr>
        <w:t xml:space="preserve">ebäuden hydraulisch abgeglichen werden. </w:t>
      </w:r>
      <w:r>
        <w:rPr>
          <w:rFonts w:ascii="Arial" w:hAnsi="Arial" w:cs="Arial"/>
          <w:b/>
          <w:bCs/>
        </w:rPr>
        <w:t>Die</w:t>
      </w:r>
      <w:r w:rsidR="000A054B">
        <w:rPr>
          <w:rFonts w:ascii="Arial" w:hAnsi="Arial" w:cs="Arial"/>
          <w:b/>
          <w:bCs/>
        </w:rPr>
        <w:t xml:space="preserve"> </w:t>
      </w:r>
      <w:r w:rsidR="00DA5E32" w:rsidRPr="00DA5E32">
        <w:rPr>
          <w:rFonts w:ascii="Arial" w:hAnsi="Arial" w:cs="Arial"/>
          <w:b/>
          <w:bCs/>
        </w:rPr>
        <w:t xml:space="preserve">Umsetzungsfristen machen der Branche Druck. Hier unterstützt </w:t>
      </w:r>
      <w:r w:rsidR="00202AD2">
        <w:rPr>
          <w:rFonts w:ascii="Arial" w:hAnsi="Arial" w:cs="Arial"/>
          <w:b/>
          <w:bCs/>
        </w:rPr>
        <w:t>„</w:t>
      </w:r>
      <w:r w:rsidR="00DA5E32" w:rsidRPr="00DA5E32">
        <w:rPr>
          <w:rFonts w:ascii="Arial" w:hAnsi="Arial" w:cs="Arial"/>
          <w:b/>
          <w:bCs/>
        </w:rPr>
        <w:t>Optimus 3D PLUS</w:t>
      </w:r>
      <w:r w:rsidR="00202AD2">
        <w:rPr>
          <w:rFonts w:ascii="Arial" w:hAnsi="Arial" w:cs="Arial"/>
          <w:b/>
          <w:bCs/>
        </w:rPr>
        <w:t>“</w:t>
      </w:r>
      <w:r w:rsidR="00DA5E32" w:rsidRPr="00DA5E32">
        <w:rPr>
          <w:rFonts w:ascii="Arial" w:hAnsi="Arial" w:cs="Arial"/>
          <w:b/>
          <w:bCs/>
        </w:rPr>
        <w:t xml:space="preserve"> die SHK- und TGA-Profis. </w:t>
      </w:r>
      <w:r w:rsidR="00DA5E32">
        <w:rPr>
          <w:rFonts w:ascii="Arial" w:hAnsi="Arial" w:cs="Arial"/>
          <w:b/>
          <w:bCs/>
        </w:rPr>
        <w:t>Die Software</w:t>
      </w:r>
      <w:r w:rsidR="00DA5E32" w:rsidRPr="00DA5E32">
        <w:rPr>
          <w:rFonts w:ascii="Arial" w:hAnsi="Arial" w:cs="Arial"/>
          <w:b/>
          <w:bCs/>
        </w:rPr>
        <w:t xml:space="preserve"> berechnet schnell und einfach den hydraulischen Abgleich</w:t>
      </w:r>
      <w:r w:rsidR="001F0CFB">
        <w:rPr>
          <w:rFonts w:ascii="Arial" w:hAnsi="Arial" w:cs="Arial"/>
          <w:b/>
          <w:bCs/>
        </w:rPr>
        <w:t xml:space="preserve"> für wassergeführte Heizungsanlagen</w:t>
      </w:r>
      <w:r w:rsidR="00DA5E32" w:rsidRPr="00DA5E32">
        <w:rPr>
          <w:rFonts w:ascii="Arial" w:hAnsi="Arial" w:cs="Arial"/>
          <w:b/>
          <w:bCs/>
        </w:rPr>
        <w:t xml:space="preserve"> nach dem geforderten Verfahren B. Im Anschluss schlägt Optimus geeignete Wärmepumpensysteme für den Einbau vor.</w:t>
      </w:r>
    </w:p>
    <w:p w14:paraId="1C3357BD" w14:textId="77777777" w:rsidR="00256D26" w:rsidRPr="00256D26" w:rsidRDefault="00256D26" w:rsidP="00256D26">
      <w:pPr>
        <w:spacing w:line="360" w:lineRule="exact"/>
        <w:rPr>
          <w:rFonts w:ascii="Arial" w:hAnsi="Arial" w:cs="Arial"/>
        </w:rPr>
      </w:pPr>
    </w:p>
    <w:p w14:paraId="67ED9F17" w14:textId="75991499" w:rsidR="00DB6C1F" w:rsidRPr="00256D26" w:rsidRDefault="00DB6C1F" w:rsidP="00DB6C1F">
      <w:pPr>
        <w:spacing w:line="360" w:lineRule="exact"/>
        <w:rPr>
          <w:rFonts w:ascii="Arial" w:hAnsi="Arial" w:cs="Arial"/>
          <w:b/>
          <w:bCs/>
        </w:rPr>
      </w:pPr>
      <w:r>
        <w:rPr>
          <w:rFonts w:ascii="Arial" w:hAnsi="Arial" w:cs="Arial"/>
          <w:b/>
          <w:bCs/>
        </w:rPr>
        <w:t xml:space="preserve">Förderfähig nach BAFA und KfW </w:t>
      </w:r>
    </w:p>
    <w:p w14:paraId="78B9BD28" w14:textId="329B6A56" w:rsidR="00256D26" w:rsidRPr="00256D26" w:rsidRDefault="00256D26" w:rsidP="00256D26">
      <w:pPr>
        <w:spacing w:line="360" w:lineRule="exact"/>
        <w:rPr>
          <w:rFonts w:ascii="Arial" w:hAnsi="Arial" w:cs="Arial"/>
        </w:rPr>
      </w:pPr>
      <w:r>
        <w:rPr>
          <w:rFonts w:ascii="Arial" w:hAnsi="Arial" w:cs="Arial"/>
        </w:rPr>
        <w:t>Der</w:t>
      </w:r>
      <w:r w:rsidRPr="00256D26">
        <w:rPr>
          <w:rFonts w:ascii="Arial" w:hAnsi="Arial" w:cs="Arial"/>
        </w:rPr>
        <w:t xml:space="preserve"> hydraulische Abgleich verbessert vorhandene Heizsysteme. Die Wärmeverteilung im Gebäude wird optimiert, Energie gespart und Heizkosten deutlich reduziert. Im Neubau ist die Einregulierung mit Blick auf das GEG ohnehin gängige Praxis und bei energetischen Sanierungen profitiert auch der Bestandsbau. </w:t>
      </w:r>
      <w:r w:rsidR="00202AD2">
        <w:rPr>
          <w:rFonts w:ascii="Arial" w:hAnsi="Arial" w:cs="Arial"/>
        </w:rPr>
        <w:t xml:space="preserve">Zusätzlichen </w:t>
      </w:r>
      <w:r w:rsidRPr="00256D26">
        <w:rPr>
          <w:rFonts w:ascii="Arial" w:hAnsi="Arial" w:cs="Arial"/>
        </w:rPr>
        <w:t xml:space="preserve">Anreiz </w:t>
      </w:r>
      <w:r w:rsidR="00202AD2">
        <w:rPr>
          <w:rFonts w:ascii="Arial" w:hAnsi="Arial" w:cs="Arial"/>
        </w:rPr>
        <w:t>schaffen finanzielle Unterstützungen</w:t>
      </w:r>
      <w:r w:rsidRPr="00256D26">
        <w:rPr>
          <w:rFonts w:ascii="Arial" w:hAnsi="Arial" w:cs="Arial"/>
        </w:rPr>
        <w:t xml:space="preserve"> </w:t>
      </w:r>
      <w:r w:rsidR="00202AD2">
        <w:rPr>
          <w:rFonts w:ascii="Arial" w:hAnsi="Arial" w:cs="Arial"/>
        </w:rPr>
        <w:t xml:space="preserve">über </w:t>
      </w:r>
      <w:r w:rsidRPr="00256D26">
        <w:rPr>
          <w:rFonts w:ascii="Arial" w:hAnsi="Arial" w:cs="Arial"/>
        </w:rPr>
        <w:t>BAFA</w:t>
      </w:r>
      <w:r w:rsidR="00202AD2">
        <w:rPr>
          <w:rFonts w:ascii="Arial" w:hAnsi="Arial" w:cs="Arial"/>
        </w:rPr>
        <w:t xml:space="preserve"> </w:t>
      </w:r>
      <w:r w:rsidR="00202AD2" w:rsidRPr="00256D26">
        <w:rPr>
          <w:rFonts w:ascii="Arial" w:hAnsi="Arial" w:cs="Arial"/>
        </w:rPr>
        <w:t>(BEG EM)</w:t>
      </w:r>
      <w:r w:rsidR="00202AD2">
        <w:rPr>
          <w:rFonts w:ascii="Arial" w:hAnsi="Arial" w:cs="Arial"/>
        </w:rPr>
        <w:t xml:space="preserve"> oder Förderkredite (</w:t>
      </w:r>
      <w:r w:rsidR="00202AD2" w:rsidRPr="00202AD2">
        <w:rPr>
          <w:rFonts w:ascii="Arial" w:hAnsi="Arial" w:cs="Arial"/>
        </w:rPr>
        <w:t>KfW 261</w:t>
      </w:r>
      <w:r w:rsidR="00202AD2">
        <w:rPr>
          <w:rFonts w:ascii="Arial" w:hAnsi="Arial" w:cs="Arial"/>
        </w:rPr>
        <w:t>)</w:t>
      </w:r>
      <w:r w:rsidRPr="00256D26">
        <w:rPr>
          <w:rFonts w:ascii="Arial" w:hAnsi="Arial" w:cs="Arial"/>
        </w:rPr>
        <w:t>.</w:t>
      </w:r>
    </w:p>
    <w:p w14:paraId="089A9D06" w14:textId="77777777" w:rsidR="00256D26" w:rsidRPr="00256D26" w:rsidRDefault="00256D26" w:rsidP="00256D26">
      <w:pPr>
        <w:spacing w:line="360" w:lineRule="exact"/>
        <w:rPr>
          <w:rFonts w:ascii="Arial" w:hAnsi="Arial" w:cs="Arial"/>
        </w:rPr>
      </w:pPr>
    </w:p>
    <w:p w14:paraId="2E869B77" w14:textId="20729065" w:rsidR="00256D26" w:rsidRPr="00256D26" w:rsidRDefault="002D56DC" w:rsidP="00256D26">
      <w:pPr>
        <w:spacing w:line="360" w:lineRule="exact"/>
        <w:rPr>
          <w:rFonts w:ascii="Arial" w:hAnsi="Arial" w:cs="Arial"/>
          <w:b/>
          <w:bCs/>
        </w:rPr>
      </w:pPr>
      <w:r>
        <w:rPr>
          <w:rFonts w:ascii="Arial" w:hAnsi="Arial" w:cs="Arial"/>
          <w:b/>
          <w:bCs/>
        </w:rPr>
        <w:t>Optimal optimieren mit</w:t>
      </w:r>
      <w:r w:rsidR="00256D26" w:rsidRPr="00256D26">
        <w:rPr>
          <w:rFonts w:ascii="Arial" w:hAnsi="Arial" w:cs="Arial"/>
          <w:b/>
          <w:bCs/>
        </w:rPr>
        <w:t xml:space="preserve"> „Optimus“ </w:t>
      </w:r>
    </w:p>
    <w:p w14:paraId="26AF6C2E" w14:textId="4D8DBBC7" w:rsidR="00582CF7" w:rsidRDefault="00256D26" w:rsidP="00256D26">
      <w:pPr>
        <w:spacing w:line="360" w:lineRule="exact"/>
        <w:rPr>
          <w:rFonts w:ascii="Arial" w:hAnsi="Arial" w:cs="Arial"/>
        </w:rPr>
      </w:pPr>
      <w:r w:rsidRPr="00256D26">
        <w:rPr>
          <w:rFonts w:ascii="Arial" w:hAnsi="Arial" w:cs="Arial"/>
        </w:rPr>
        <w:t xml:space="preserve">Optimus führt den Abgleich der Heizsysteme im Gebäudebestand nach Verfahren A und B durch. Je nach </w:t>
      </w:r>
      <w:r w:rsidR="002D56DC">
        <w:rPr>
          <w:rFonts w:ascii="Arial" w:hAnsi="Arial" w:cs="Arial"/>
        </w:rPr>
        <w:t xml:space="preserve">Version </w:t>
      </w:r>
      <w:r w:rsidRPr="00256D26">
        <w:rPr>
          <w:rFonts w:ascii="Arial" w:hAnsi="Arial" w:cs="Arial"/>
        </w:rPr>
        <w:t xml:space="preserve">unterstützt die integrierte Softwarelösung HottCAD bei der Erfassung oder Übernahme von Gebäudedaten und -plänen. Damit </w:t>
      </w:r>
      <w:r w:rsidRPr="00256D26">
        <w:rPr>
          <w:rFonts w:ascii="Arial" w:hAnsi="Arial" w:cs="Arial"/>
        </w:rPr>
        <w:lastRenderedPageBreak/>
        <w:t>stehen die Daten im Anschluss für weiterführende Berechnungen bereit. Aus dann überschlägig berechneten Heizlasten der einzelnen Räume ermittelt das Tool die günstigsten Werte für die Vorlauftemperatur sowie Pumpen- und Thermostatventileinstellungen des Heizsystems. Auf Basis dieser Da</w:t>
      </w:r>
      <w:r w:rsidR="009F2B2D">
        <w:rPr>
          <w:rFonts w:ascii="Arial" w:hAnsi="Arial" w:cs="Arial"/>
        </w:rPr>
        <w:t xml:space="preserve">ten </w:t>
      </w:r>
      <w:r w:rsidRPr="00256D26">
        <w:rPr>
          <w:rFonts w:ascii="Arial" w:hAnsi="Arial" w:cs="Arial"/>
        </w:rPr>
        <w:t>wird der hydraulische Abgleich durchgeführt.</w:t>
      </w:r>
      <w:r w:rsidR="00582CF7">
        <w:rPr>
          <w:rFonts w:ascii="Arial" w:hAnsi="Arial" w:cs="Arial"/>
        </w:rPr>
        <w:t xml:space="preserve"> J</w:t>
      </w:r>
      <w:r w:rsidR="00582CF7" w:rsidRPr="00256D26">
        <w:rPr>
          <w:rFonts w:ascii="Arial" w:hAnsi="Arial" w:cs="Arial"/>
        </w:rPr>
        <w:t>e nach Anforderung herstellerkomponenten-übergreifend oder herstellerunabhängig.</w:t>
      </w:r>
      <w:r w:rsidR="00582CF7">
        <w:rPr>
          <w:rFonts w:ascii="Arial" w:hAnsi="Arial" w:cs="Arial"/>
        </w:rPr>
        <w:t xml:space="preserve"> </w:t>
      </w:r>
    </w:p>
    <w:p w14:paraId="52594EAA" w14:textId="77777777" w:rsidR="00582CF7" w:rsidRDefault="00582CF7" w:rsidP="00256D26">
      <w:pPr>
        <w:spacing w:line="360" w:lineRule="exact"/>
        <w:rPr>
          <w:rFonts w:ascii="Arial" w:hAnsi="Arial" w:cs="Arial"/>
        </w:rPr>
      </w:pPr>
    </w:p>
    <w:p w14:paraId="68A44549" w14:textId="286FF658" w:rsidR="009F2B2D" w:rsidRPr="009F2B2D" w:rsidRDefault="00582CF7" w:rsidP="00256D26">
      <w:pPr>
        <w:spacing w:line="360" w:lineRule="exact"/>
        <w:rPr>
          <w:rFonts w:ascii="Arial" w:hAnsi="Arial" w:cs="Arial"/>
          <w:b/>
          <w:bCs/>
        </w:rPr>
      </w:pPr>
      <w:r w:rsidRPr="009F2B2D">
        <w:rPr>
          <w:rFonts w:ascii="Arial" w:hAnsi="Arial" w:cs="Arial"/>
          <w:b/>
          <w:bCs/>
        </w:rPr>
        <w:t>Wärmepumpe</w:t>
      </w:r>
      <w:r w:rsidR="009F2B2D" w:rsidRPr="009F2B2D">
        <w:rPr>
          <w:rFonts w:ascii="Arial" w:hAnsi="Arial" w:cs="Arial"/>
          <w:b/>
          <w:bCs/>
        </w:rPr>
        <w:t>:</w:t>
      </w:r>
      <w:r w:rsidRPr="009F2B2D">
        <w:rPr>
          <w:rFonts w:ascii="Arial" w:hAnsi="Arial" w:cs="Arial"/>
          <w:b/>
          <w:bCs/>
        </w:rPr>
        <w:t xml:space="preserve"> </w:t>
      </w:r>
      <w:r w:rsidR="009F2B2D" w:rsidRPr="009F2B2D">
        <w:rPr>
          <w:rFonts w:ascii="Arial" w:hAnsi="Arial" w:cs="Arial"/>
          <w:b/>
          <w:bCs/>
        </w:rPr>
        <w:t>ja, nein – vielleicht?</w:t>
      </w:r>
    </w:p>
    <w:p w14:paraId="7902885D" w14:textId="1B4C9162" w:rsidR="009C256C" w:rsidRDefault="009F2B2D" w:rsidP="00256D26">
      <w:pPr>
        <w:spacing w:line="360" w:lineRule="exact"/>
        <w:rPr>
          <w:rFonts w:ascii="Arial" w:hAnsi="Arial" w:cs="Arial"/>
        </w:rPr>
      </w:pPr>
      <w:r w:rsidRPr="009F2B2D">
        <w:rPr>
          <w:rFonts w:ascii="Arial" w:hAnsi="Arial" w:cs="Arial"/>
        </w:rPr>
        <w:t>Ergänzt wird der hydraulische Abgleich in der Software mit dem implementierten Wärmepumpen-Check.</w:t>
      </w:r>
      <w:r>
        <w:rPr>
          <w:rFonts w:ascii="Arial" w:hAnsi="Arial" w:cs="Arial"/>
        </w:rPr>
        <w:t xml:space="preserve"> </w:t>
      </w:r>
      <w:r w:rsidR="00256D26" w:rsidRPr="00256D26">
        <w:rPr>
          <w:rFonts w:ascii="Arial" w:hAnsi="Arial" w:cs="Arial"/>
        </w:rPr>
        <w:t xml:space="preserve">So werden die Bewertung, Prüfung und Beratung der Anlagen-Situation nahtlos an die Berechnung des hydraulischen Abgleichs angeschlossen. Schnell wird veranschaulicht, ob ein Altgerät getauscht und die Vorlauftemperatur optimiert werden kann. Für die Wärmepumpen-Offensive ist die Branche mit Optimus 3D PLUS und integriertem Wärmepumpen-Check optimal </w:t>
      </w:r>
      <w:r w:rsidR="00202AD2">
        <w:rPr>
          <w:rFonts w:ascii="Arial" w:hAnsi="Arial" w:cs="Arial"/>
        </w:rPr>
        <w:t>vorbereitet</w:t>
      </w:r>
      <w:r w:rsidR="00256D26" w:rsidRPr="00256D26">
        <w:rPr>
          <w:rFonts w:ascii="Arial" w:hAnsi="Arial" w:cs="Arial"/>
        </w:rPr>
        <w:t>.</w:t>
      </w:r>
    </w:p>
    <w:p w14:paraId="5951252B" w14:textId="77777777" w:rsidR="00202AD2" w:rsidRPr="00582CF7" w:rsidRDefault="00202AD2" w:rsidP="00256D26">
      <w:pPr>
        <w:spacing w:line="360" w:lineRule="exact"/>
        <w:rPr>
          <w:rFonts w:ascii="Arial" w:hAnsi="Arial" w:cs="Arial"/>
        </w:rPr>
      </w:pPr>
    </w:p>
    <w:p w14:paraId="00ACEF41" w14:textId="7A633924" w:rsidR="00310A04" w:rsidRPr="00EB7AB7" w:rsidRDefault="001D4C5A" w:rsidP="00256D26">
      <w:pPr>
        <w:spacing w:line="360" w:lineRule="exact"/>
        <w:rPr>
          <w:rFonts w:ascii="Arial" w:hAnsi="Arial" w:cs="Arial"/>
        </w:rPr>
      </w:pPr>
      <w:r w:rsidRPr="00EB7AB7">
        <w:rPr>
          <w:rFonts w:ascii="Arial" w:hAnsi="Arial" w:cs="Arial"/>
        </w:rPr>
        <w:t xml:space="preserve">Für weitere Informationen steht Ihnen das Team der Hottgenroth </w:t>
      </w:r>
      <w:r w:rsidR="00EB7AB7">
        <w:rPr>
          <w:rFonts w:ascii="Arial" w:hAnsi="Arial" w:cs="Arial"/>
        </w:rPr>
        <w:t>G</w:t>
      </w:r>
      <w:r w:rsidRPr="00EB7AB7">
        <w:rPr>
          <w:rFonts w:ascii="Arial" w:hAnsi="Arial" w:cs="Arial"/>
        </w:rPr>
        <w:t xml:space="preserve">ruppe gern unter folgenden Kontaktdaten zur Verfügung: </w:t>
      </w:r>
    </w:p>
    <w:p w14:paraId="7EB00119" w14:textId="77777777" w:rsidR="0094725E" w:rsidRDefault="0094725E">
      <w:pPr>
        <w:pStyle w:val="Textkrper"/>
        <w:spacing w:after="120" w:line="320" w:lineRule="atLeast"/>
        <w:jc w:val="left"/>
        <w:rPr>
          <w:rFonts w:ascii="Arial" w:hAnsi="Arial" w:cs="Arial"/>
          <w:sz w:val="22"/>
          <w:szCs w:val="22"/>
        </w:rPr>
      </w:pPr>
    </w:p>
    <w:p w14:paraId="05633F39" w14:textId="7FC06E87" w:rsidR="00310A04" w:rsidRDefault="001D4C5A">
      <w:pPr>
        <w:pStyle w:val="Textkrper"/>
        <w:spacing w:after="120" w:line="320" w:lineRule="atLeast"/>
        <w:jc w:val="left"/>
        <w:rPr>
          <w:rFonts w:ascii="Arial" w:hAnsi="Arial" w:cs="Arial"/>
          <w:color w:val="0000FF"/>
          <w:sz w:val="22"/>
          <w:szCs w:val="22"/>
          <w:u w:val="single"/>
          <w:lang w:val="de-DE"/>
        </w:rPr>
      </w:pPr>
      <w:r>
        <w:rPr>
          <w:rFonts w:ascii="Arial" w:hAnsi="Arial" w:cs="Arial"/>
          <w:sz w:val="22"/>
          <w:szCs w:val="22"/>
        </w:rPr>
        <w:t xml:space="preserve">Hottgenroth </w:t>
      </w:r>
      <w:r w:rsidR="007226E5">
        <w:rPr>
          <w:rFonts w:ascii="Arial" w:hAnsi="Arial" w:cs="Arial"/>
          <w:sz w:val="22"/>
          <w:szCs w:val="22"/>
          <w:lang w:val="de-DE"/>
        </w:rPr>
        <w:t xml:space="preserve">Software </w:t>
      </w:r>
      <w:r w:rsidR="00033BFA">
        <w:rPr>
          <w:rFonts w:ascii="Arial" w:hAnsi="Arial" w:cs="Arial"/>
          <w:sz w:val="22"/>
          <w:szCs w:val="22"/>
          <w:lang w:val="de-DE"/>
        </w:rPr>
        <w:t>AG</w:t>
      </w:r>
      <w:r>
        <w:rPr>
          <w:rFonts w:ascii="Arial" w:hAnsi="Arial" w:cs="Arial"/>
          <w:sz w:val="22"/>
          <w:szCs w:val="22"/>
        </w:rPr>
        <w:br/>
        <w:t xml:space="preserve">Von-Hünefeld-Straße 3 </w:t>
      </w:r>
      <w:r>
        <w:rPr>
          <w:rFonts w:ascii="Arial" w:hAnsi="Arial" w:cs="Arial"/>
          <w:sz w:val="22"/>
          <w:szCs w:val="22"/>
        </w:rPr>
        <w:br/>
        <w:t>50829 Köln</w:t>
      </w:r>
      <w:r>
        <w:rPr>
          <w:rFonts w:ascii="Arial" w:hAnsi="Arial" w:cs="Arial"/>
          <w:sz w:val="22"/>
          <w:szCs w:val="22"/>
        </w:rPr>
        <w:br/>
        <w:t>Tel.:</w:t>
      </w:r>
      <w:r>
        <w:rPr>
          <w:rFonts w:ascii="Arial" w:hAnsi="Arial" w:cs="Arial"/>
          <w:sz w:val="22"/>
          <w:szCs w:val="22"/>
        </w:rPr>
        <w:tab/>
        <w:t>+49</w:t>
      </w:r>
      <w:r w:rsidR="00106715">
        <w:rPr>
          <w:rFonts w:ascii="Arial" w:hAnsi="Arial" w:cs="Arial"/>
          <w:sz w:val="22"/>
          <w:szCs w:val="22"/>
          <w:lang w:val="de-DE"/>
        </w:rPr>
        <w:t xml:space="preserve"> </w:t>
      </w:r>
      <w:r>
        <w:rPr>
          <w:rFonts w:ascii="Arial" w:hAnsi="Arial" w:cs="Arial"/>
          <w:sz w:val="22"/>
          <w:szCs w:val="22"/>
        </w:rPr>
        <w:t xml:space="preserve">221.70 99 33 </w:t>
      </w:r>
      <w:r w:rsidR="00593090">
        <w:rPr>
          <w:rFonts w:ascii="Arial" w:hAnsi="Arial" w:cs="Arial"/>
          <w:sz w:val="22"/>
          <w:szCs w:val="22"/>
          <w:lang w:val="de-DE"/>
        </w:rPr>
        <w:t>00</w:t>
      </w:r>
      <w:r>
        <w:rPr>
          <w:rFonts w:ascii="Arial" w:hAnsi="Arial" w:cs="Arial"/>
          <w:sz w:val="22"/>
          <w:szCs w:val="22"/>
        </w:rPr>
        <w:t xml:space="preserve"> </w:t>
      </w:r>
      <w:r>
        <w:rPr>
          <w:rFonts w:ascii="Arial" w:hAnsi="Arial" w:cs="Arial"/>
          <w:sz w:val="22"/>
          <w:szCs w:val="22"/>
        </w:rPr>
        <w:br/>
      </w:r>
      <w:r w:rsidR="009940FC">
        <w:rPr>
          <w:rFonts w:ascii="Arial" w:hAnsi="Arial" w:cs="Arial"/>
          <w:sz w:val="22"/>
          <w:szCs w:val="22"/>
        </w:rPr>
        <w:t>E-Mail</w:t>
      </w:r>
      <w:r w:rsidR="009940FC">
        <w:rPr>
          <w:rFonts w:ascii="Arial" w:hAnsi="Arial" w:cs="Arial"/>
          <w:sz w:val="22"/>
          <w:szCs w:val="22"/>
          <w:lang w:val="de-DE"/>
        </w:rPr>
        <w:t>: info@hottgenroth.de</w:t>
      </w:r>
      <w:r>
        <w:rPr>
          <w:rFonts w:ascii="Arial" w:hAnsi="Arial" w:cs="Arial"/>
          <w:sz w:val="22"/>
          <w:szCs w:val="22"/>
        </w:rPr>
        <w:br/>
      </w:r>
      <w:r>
        <w:rPr>
          <w:rFonts w:ascii="Arial" w:hAnsi="Arial" w:cs="Arial"/>
          <w:sz w:val="22"/>
          <w:szCs w:val="22"/>
          <w:lang w:val="de-DE"/>
        </w:rPr>
        <w:t xml:space="preserve">Weitere Informationen und Produktvideo: </w:t>
      </w:r>
      <w:r>
        <w:rPr>
          <w:rFonts w:ascii="Arial" w:hAnsi="Arial" w:cs="Arial"/>
          <w:sz w:val="22"/>
          <w:szCs w:val="22"/>
          <w:lang w:val="de-DE"/>
        </w:rPr>
        <w:br/>
      </w:r>
      <w:r w:rsidR="00593090">
        <w:rPr>
          <w:rStyle w:val="Hyperlink"/>
          <w:rFonts w:ascii="Arial" w:hAnsi="Arial" w:cs="Arial"/>
          <w:sz w:val="22"/>
          <w:szCs w:val="22"/>
          <w:lang w:val="de-DE"/>
        </w:rPr>
        <w:t>www.hottgenroth.de</w:t>
      </w:r>
    </w:p>
    <w:p w14:paraId="4B7D206F" w14:textId="76D61D08" w:rsidR="00310A04" w:rsidRDefault="001D4C5A">
      <w:pPr>
        <w:pStyle w:val="Textkrper"/>
        <w:spacing w:after="120" w:line="320" w:lineRule="atLeast"/>
        <w:jc w:val="left"/>
        <w:rPr>
          <w:rFonts w:ascii="Arial" w:hAnsi="Arial" w:cs="Arial"/>
          <w:sz w:val="22"/>
          <w:szCs w:val="22"/>
          <w:lang w:val="de-DE"/>
        </w:rPr>
      </w:pPr>
      <w:r>
        <w:rPr>
          <w:rFonts w:ascii="Arial" w:hAnsi="Arial" w:cs="Arial"/>
          <w:sz w:val="22"/>
          <w:szCs w:val="22"/>
        </w:rPr>
        <w:t>Abdruck frei – Beleg erbeten, Foto: Hottgenroth, Kö</w:t>
      </w:r>
      <w:r>
        <w:rPr>
          <w:rFonts w:ascii="Arial" w:hAnsi="Arial" w:cs="Arial"/>
          <w:sz w:val="22"/>
          <w:szCs w:val="22"/>
          <w:lang w:val="de-DE"/>
        </w:rPr>
        <w:t>ln</w:t>
      </w:r>
    </w:p>
    <w:p w14:paraId="0F24AD93" w14:textId="0D23A903" w:rsidR="0094725E" w:rsidRDefault="0094725E">
      <w:pPr>
        <w:pStyle w:val="Textkrper"/>
        <w:pBdr>
          <w:bottom w:val="single" w:sz="12" w:space="1" w:color="auto"/>
        </w:pBdr>
        <w:spacing w:after="120" w:line="320" w:lineRule="atLeast"/>
        <w:jc w:val="left"/>
        <w:rPr>
          <w:rFonts w:ascii="Arial" w:hAnsi="Arial" w:cs="Arial"/>
          <w:sz w:val="22"/>
          <w:szCs w:val="22"/>
          <w:lang w:val="de-DE"/>
        </w:rPr>
      </w:pPr>
    </w:p>
    <w:sectPr w:rsidR="0094725E">
      <w:pgSz w:w="11906" w:h="16838" w:code="9"/>
      <w:pgMar w:top="1729" w:right="1077" w:bottom="3119"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A4662" w14:textId="77777777" w:rsidR="00310A04" w:rsidRDefault="001D4C5A">
      <w:r>
        <w:separator/>
      </w:r>
    </w:p>
  </w:endnote>
  <w:endnote w:type="continuationSeparator" w:id="0">
    <w:p w14:paraId="36D5F5EC" w14:textId="77777777" w:rsidR="00310A04" w:rsidRDefault="001D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750D" w14:textId="77777777" w:rsidR="00310A04" w:rsidRDefault="001D4C5A">
      <w:r>
        <w:separator/>
      </w:r>
    </w:p>
  </w:footnote>
  <w:footnote w:type="continuationSeparator" w:id="0">
    <w:p w14:paraId="1F948333" w14:textId="77777777" w:rsidR="00310A04" w:rsidRDefault="001D4C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A04"/>
    <w:rsid w:val="00033BFA"/>
    <w:rsid w:val="000A054B"/>
    <w:rsid w:val="00106715"/>
    <w:rsid w:val="001A1CFA"/>
    <w:rsid w:val="001D4C5A"/>
    <w:rsid w:val="001F0CFB"/>
    <w:rsid w:val="00202AD2"/>
    <w:rsid w:val="00256D26"/>
    <w:rsid w:val="002D56DC"/>
    <w:rsid w:val="002F1EDB"/>
    <w:rsid w:val="002F76EC"/>
    <w:rsid w:val="00310A04"/>
    <w:rsid w:val="003138D9"/>
    <w:rsid w:val="00395C4F"/>
    <w:rsid w:val="003F1316"/>
    <w:rsid w:val="0046675A"/>
    <w:rsid w:val="00582CF7"/>
    <w:rsid w:val="00593090"/>
    <w:rsid w:val="00645CEF"/>
    <w:rsid w:val="006A67E7"/>
    <w:rsid w:val="00700DF4"/>
    <w:rsid w:val="00717B9C"/>
    <w:rsid w:val="007226E5"/>
    <w:rsid w:val="007932E7"/>
    <w:rsid w:val="008B6D1A"/>
    <w:rsid w:val="008F5B91"/>
    <w:rsid w:val="00920F77"/>
    <w:rsid w:val="0094725E"/>
    <w:rsid w:val="009940FC"/>
    <w:rsid w:val="009C256C"/>
    <w:rsid w:val="009F2B2D"/>
    <w:rsid w:val="00A33245"/>
    <w:rsid w:val="00A52713"/>
    <w:rsid w:val="00A66C6F"/>
    <w:rsid w:val="00AF62C1"/>
    <w:rsid w:val="00B13BCB"/>
    <w:rsid w:val="00CB5FCF"/>
    <w:rsid w:val="00CD79B4"/>
    <w:rsid w:val="00D02787"/>
    <w:rsid w:val="00D62578"/>
    <w:rsid w:val="00D85C56"/>
    <w:rsid w:val="00DA5E32"/>
    <w:rsid w:val="00DB6C1F"/>
    <w:rsid w:val="00E61283"/>
    <w:rsid w:val="00E84291"/>
    <w:rsid w:val="00EB7AB7"/>
    <w:rsid w:val="00F83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668CB"/>
  <w15:chartTrackingRefBased/>
  <w15:docId w15:val="{F8C75AB6-7F7E-4980-8E27-145C4237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berschrift3">
    <w:name w:val="heading 3"/>
    <w:basedOn w:val="Standard"/>
    <w:next w:val="Standard"/>
    <w:link w:val="berschrift3Zchn"/>
    <w:uiPriority w:val="9"/>
    <w:unhideWhenUsed/>
    <w:qFormat/>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erzeichnisgwo">
    <w:name w:val="verzeichnis_gwo"/>
    <w:basedOn w:val="Verzeichnis2"/>
    <w:pPr>
      <w:tabs>
        <w:tab w:val="left" w:pos="720"/>
        <w:tab w:val="right" w:pos="7757"/>
      </w:tabs>
      <w:spacing w:before="240" w:line="360" w:lineRule="auto"/>
      <w:ind w:left="0"/>
    </w:pPr>
    <w:rPr>
      <w:rFonts w:ascii="Arial" w:hAnsi="Arial"/>
      <w:b/>
      <w:bCs/>
      <w:sz w:val="20"/>
      <w:szCs w:val="20"/>
    </w:rPr>
  </w:style>
  <w:style w:type="paragraph" w:styleId="Verzeichnis2">
    <w:name w:val="toc 2"/>
    <w:basedOn w:val="Standard"/>
    <w:next w:val="Standard"/>
    <w:autoRedefine/>
    <w:semiHidden/>
    <w:pPr>
      <w:ind w:left="240"/>
    </w:pPr>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lang w:val="x-none" w:eastAsia="x-none"/>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unhideWhenUsed/>
    <w:pPr>
      <w:tabs>
        <w:tab w:val="center" w:pos="4536"/>
        <w:tab w:val="right" w:pos="9072"/>
      </w:tabs>
    </w:pPr>
    <w:rPr>
      <w:lang w:val="x-none" w:eastAsia="x-none"/>
    </w:rPr>
  </w:style>
  <w:style w:type="character" w:customStyle="1" w:styleId="FuzeileZchn">
    <w:name w:val="Fußzeile Zchn"/>
    <w:link w:val="Fuzeile"/>
    <w:uiPriority w:val="99"/>
    <w:rPr>
      <w:sz w:val="24"/>
      <w:szCs w:val="24"/>
    </w:rPr>
  </w:style>
  <w:style w:type="character" w:customStyle="1" w:styleId="TextkrperZchn">
    <w:name w:val="Textkörper Zchn"/>
    <w:link w:val="Textkrper"/>
    <w:rPr>
      <w:rFonts w:ascii="Verdana" w:hAnsi="Verdana"/>
      <w:sz w:val="24"/>
      <w:szCs w:val="24"/>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eastAsia="en-US"/>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en-US"/>
    </w:rPr>
  </w:style>
  <w:style w:type="paragraph" w:customStyle="1" w:styleId="bodytext">
    <w:name w:val="bodytext"/>
    <w:basedOn w:val="Standard"/>
    <w:pPr>
      <w:spacing w:before="100" w:beforeAutospacing="1" w:after="100" w:afterAutospacing="1"/>
    </w:pPr>
  </w:style>
  <w:style w:type="character" w:customStyle="1" w:styleId="text-danger">
    <w:name w:val="text-dang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09288">
      <w:bodyDiv w:val="1"/>
      <w:marLeft w:val="0"/>
      <w:marRight w:val="0"/>
      <w:marTop w:val="0"/>
      <w:marBottom w:val="0"/>
      <w:divBdr>
        <w:top w:val="none" w:sz="0" w:space="0" w:color="auto"/>
        <w:left w:val="none" w:sz="0" w:space="0" w:color="auto"/>
        <w:bottom w:val="none" w:sz="0" w:space="0" w:color="auto"/>
        <w:right w:val="none" w:sz="0" w:space="0" w:color="auto"/>
      </w:divBdr>
    </w:div>
    <w:div w:id="472989463">
      <w:bodyDiv w:val="1"/>
      <w:marLeft w:val="0"/>
      <w:marRight w:val="0"/>
      <w:marTop w:val="0"/>
      <w:marBottom w:val="0"/>
      <w:divBdr>
        <w:top w:val="none" w:sz="0" w:space="0" w:color="auto"/>
        <w:left w:val="none" w:sz="0" w:space="0" w:color="auto"/>
        <w:bottom w:val="none" w:sz="0" w:space="0" w:color="auto"/>
        <w:right w:val="none" w:sz="0" w:space="0" w:color="auto"/>
      </w:divBdr>
    </w:div>
    <w:div w:id="120822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D842-BA0D-4AA6-9035-1BD2333C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2293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Hottgenroth/ETU Software auf der ISH 2011</vt:lpstr>
    </vt:vector>
  </TitlesOfParts>
  <Company/>
  <LinksUpToDate>false</LinksUpToDate>
  <CharactersWithSpaces>2600</CharactersWithSpaces>
  <SharedDoc>false</SharedDoc>
  <HLinks>
    <vt:vector size="12" baseType="variant">
      <vt:variant>
        <vt:i4>7340143</vt:i4>
      </vt:variant>
      <vt:variant>
        <vt:i4>3</vt:i4>
      </vt:variant>
      <vt:variant>
        <vt:i4>0</vt:i4>
      </vt:variant>
      <vt:variant>
        <vt:i4>5</vt:i4>
      </vt:variant>
      <vt:variant>
        <vt:lpwstr>http://www.etu.de/</vt:lpwstr>
      </vt:variant>
      <vt:variant>
        <vt:lpwstr/>
      </vt:variant>
      <vt:variant>
        <vt:i4>7471203</vt:i4>
      </vt:variant>
      <vt:variant>
        <vt:i4>0</vt:i4>
      </vt:variant>
      <vt:variant>
        <vt:i4>0</vt:i4>
      </vt:variant>
      <vt:variant>
        <vt:i4>5</vt:i4>
      </vt:variant>
      <vt:variant>
        <vt:lpwstr>http://www.hottgenroth.de/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Hottgenroth/ETU Software auf der ISH 2011</dc:title>
  <dc:subject/>
  <dc:creator>Guido Wollenberg</dc:creator>
  <cp:keywords>Hottgenroth, ETU, SHK Planer Neubau</cp:keywords>
  <cp:lastModifiedBy>Tanja Gerhard</cp:lastModifiedBy>
  <cp:revision>7</cp:revision>
  <cp:lastPrinted>2019-06-12T09:08:00Z</cp:lastPrinted>
  <dcterms:created xsi:type="dcterms:W3CDTF">2023-04-25T07:21:00Z</dcterms:created>
  <dcterms:modified xsi:type="dcterms:W3CDTF">2023-04-26T10:27:00Z</dcterms:modified>
  <cp:category>Presseinformation</cp:category>
</cp:coreProperties>
</file>